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6436" w14:textId="09BA03E5" w:rsidR="00496628" w:rsidRPr="00496628" w:rsidRDefault="00496628" w:rsidP="00496628">
      <w:pPr>
        <w:shd w:val="clear" w:color="auto" w:fill="FFFFFF"/>
        <w:spacing w:after="0" w:line="240" w:lineRule="auto"/>
        <w:textAlignment w:val="baseline"/>
        <w:rPr>
          <w:rFonts w:ascii="Segoe UI" w:eastAsia="Times New Roman" w:hAnsi="Segoe UI" w:cs="Segoe UI"/>
          <w:color w:val="000000"/>
          <w:sz w:val="21"/>
          <w:szCs w:val="21"/>
          <w:lang w:eastAsia="en-GB"/>
        </w:rPr>
      </w:pPr>
      <w:r w:rsidRPr="00496628">
        <w:rPr>
          <w:rFonts w:ascii="inherit" w:eastAsia="Times New Roman" w:hAnsi="inherit" w:cs="Arial"/>
          <w:color w:val="000000"/>
          <w:sz w:val="33"/>
          <w:szCs w:val="33"/>
          <w:bdr w:val="none" w:sz="0" w:space="0" w:color="auto" w:frame="1"/>
          <w:shd w:val="clear" w:color="auto" w:fill="FBFAFA"/>
          <w:lang w:eastAsia="en-GB"/>
        </w:rPr>
        <w:t xml:space="preserve">SPRINGFIELD, MARYBOROUGH GREEN, MARYBOROUGH HILL, </w:t>
      </w:r>
      <w:r>
        <w:rPr>
          <w:rFonts w:ascii="inherit" w:eastAsia="Times New Roman" w:hAnsi="inherit" w:cs="Arial"/>
          <w:color w:val="000000"/>
          <w:sz w:val="33"/>
          <w:szCs w:val="33"/>
          <w:bdr w:val="none" w:sz="0" w:space="0" w:color="auto" w:frame="1"/>
          <w:shd w:val="clear" w:color="auto" w:fill="FBFAFA"/>
          <w:lang w:eastAsia="en-GB"/>
        </w:rPr>
        <w:t xml:space="preserve">             </w:t>
      </w:r>
      <w:r w:rsidRPr="00496628">
        <w:rPr>
          <w:rFonts w:ascii="inherit" w:eastAsia="Times New Roman" w:hAnsi="inherit" w:cs="Arial"/>
          <w:color w:val="000000"/>
          <w:sz w:val="33"/>
          <w:szCs w:val="33"/>
          <w:bdr w:val="none" w:sz="0" w:space="0" w:color="auto" w:frame="1"/>
          <w:shd w:val="clear" w:color="auto" w:fill="FBFAFA"/>
          <w:lang w:eastAsia="en-GB"/>
        </w:rPr>
        <w:t xml:space="preserve">DOUGLAS, </w:t>
      </w:r>
      <w:r>
        <w:rPr>
          <w:rFonts w:ascii="inherit" w:eastAsia="Times New Roman" w:hAnsi="inherit" w:cs="Arial"/>
          <w:color w:val="000000"/>
          <w:sz w:val="33"/>
          <w:szCs w:val="33"/>
          <w:bdr w:val="none" w:sz="0" w:space="0" w:color="auto" w:frame="1"/>
          <w:shd w:val="clear" w:color="auto" w:fill="FBFAFA"/>
          <w:lang w:eastAsia="en-GB"/>
        </w:rPr>
        <w:t xml:space="preserve"> CORK               </w:t>
      </w:r>
      <w:r w:rsidRPr="00496628">
        <w:rPr>
          <w:rFonts w:ascii="inherit" w:eastAsia="Times New Roman" w:hAnsi="inherit" w:cs="Arial"/>
          <w:color w:val="000000"/>
          <w:sz w:val="33"/>
          <w:szCs w:val="33"/>
          <w:bdr w:val="none" w:sz="0" w:space="0" w:color="auto" w:frame="1"/>
          <w:shd w:val="clear" w:color="auto" w:fill="FBFAFA"/>
          <w:lang w:eastAsia="en-GB"/>
        </w:rPr>
        <w:t>T12KR2P</w:t>
      </w:r>
    </w:p>
    <w:p w14:paraId="659568AC" w14:textId="77777777" w:rsidR="00496628" w:rsidRPr="00496628" w:rsidRDefault="00496628" w:rsidP="00496628">
      <w:pPr>
        <w:shd w:val="clear" w:color="auto" w:fill="FFFFFF"/>
        <w:spacing w:after="0" w:line="240" w:lineRule="auto"/>
        <w:textAlignment w:val="baseline"/>
        <w:rPr>
          <w:rFonts w:ascii="Segoe UI" w:eastAsia="Times New Roman" w:hAnsi="Segoe UI" w:cs="Segoe UI"/>
          <w:color w:val="000000"/>
          <w:sz w:val="21"/>
          <w:szCs w:val="21"/>
          <w:lang w:eastAsia="en-GB"/>
        </w:rPr>
      </w:pPr>
      <w:r w:rsidRPr="00496628">
        <w:rPr>
          <w:rFonts w:ascii="inherit" w:eastAsia="Times New Roman" w:hAnsi="inherit" w:cs="Arial"/>
          <w:color w:val="333333"/>
          <w:sz w:val="33"/>
          <w:szCs w:val="33"/>
          <w:bdr w:val="none" w:sz="0" w:space="0" w:color="auto" w:frame="1"/>
          <w:shd w:val="clear" w:color="auto" w:fill="FBFAFA"/>
          <w:lang w:eastAsia="en-GB"/>
        </w:rPr>
        <w:br/>
      </w:r>
    </w:p>
    <w:p w14:paraId="2FDD6E65" w14:textId="77777777" w:rsidR="00496628" w:rsidRPr="00496628" w:rsidRDefault="00496628" w:rsidP="00496628">
      <w:pPr>
        <w:shd w:val="clear" w:color="auto" w:fill="FFFFFF"/>
        <w:spacing w:after="0" w:line="240" w:lineRule="auto"/>
        <w:textAlignment w:val="baseline"/>
        <w:rPr>
          <w:rFonts w:ascii="Segoe UI" w:eastAsia="Times New Roman" w:hAnsi="Segoe UI" w:cs="Segoe UI"/>
          <w:color w:val="000000"/>
          <w:sz w:val="21"/>
          <w:szCs w:val="21"/>
          <w:lang w:eastAsia="en-GB"/>
        </w:rPr>
      </w:pPr>
      <w:r w:rsidRPr="00496628">
        <w:rPr>
          <w:rFonts w:ascii="inherit" w:eastAsia="Times New Roman" w:hAnsi="inherit" w:cs="Arial"/>
          <w:color w:val="333333"/>
          <w:sz w:val="33"/>
          <w:szCs w:val="33"/>
          <w:bdr w:val="none" w:sz="0" w:space="0" w:color="auto" w:frame="1"/>
          <w:shd w:val="clear" w:color="auto" w:fill="FBFAFA"/>
          <w:lang w:eastAsia="en-GB"/>
        </w:rPr>
        <w:br/>
      </w:r>
    </w:p>
    <w:p w14:paraId="5CE0DF59" w14:textId="77777777" w:rsidR="00496628" w:rsidRPr="00496628" w:rsidRDefault="00496628" w:rsidP="00496628">
      <w:pPr>
        <w:shd w:val="clear" w:color="auto" w:fill="FFFFFF"/>
        <w:spacing w:after="0" w:line="240" w:lineRule="auto"/>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The essence of this case is the 5 year sterilization imposed on the site via grant of planning permission ref.  01/1391.  </w:t>
      </w:r>
    </w:p>
    <w:p w14:paraId="39E53E30" w14:textId="77777777" w:rsidR="00496628" w:rsidRPr="00496628" w:rsidRDefault="00496628" w:rsidP="00496628">
      <w:pPr>
        <w:shd w:val="clear" w:color="auto" w:fill="FFFFFF"/>
        <w:spacing w:after="0" w:line="240" w:lineRule="auto"/>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This permission was finally granted on 20/06/2001, therefore the sterilization should have expired on 19/06/2006. </w:t>
      </w:r>
    </w:p>
    <w:p w14:paraId="2A8F7DA6" w14:textId="77777777" w:rsidR="00496628" w:rsidRPr="00496628" w:rsidRDefault="00496628" w:rsidP="00496628">
      <w:pPr>
        <w:shd w:val="clear" w:color="auto" w:fill="FFFFFF"/>
        <w:spacing w:after="0" w:line="240" w:lineRule="auto"/>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 </w:t>
      </w:r>
      <w:r w:rsidRPr="00496628">
        <w:rPr>
          <w:rFonts w:ascii="Calibri" w:eastAsia="Times New Roman" w:hAnsi="Calibri" w:cs="Segoe UI"/>
          <w:color w:val="000000"/>
          <w:sz w:val="28"/>
          <w:szCs w:val="28"/>
          <w:bdr w:val="none" w:sz="0" w:space="0" w:color="auto" w:frame="1"/>
          <w:lang w:val="en-IE" w:eastAsia="en-GB"/>
        </w:rPr>
        <w:t>Notwithstanding the fact that the effective period of this sterilization has long since passed, I am aware that permission has been granted on similarly sterilized lands (14/6019). It is notable that the applicant in this instance did not have to leave any space for provision of any of the open area temporarily required by the 01/1391 permission. </w:t>
      </w:r>
      <w:r w:rsidRPr="00496628">
        <w:rPr>
          <w:rFonts w:ascii="inherit" w:eastAsia="Times New Roman" w:hAnsi="inherit" w:cs="Segoe UI"/>
          <w:color w:val="000000"/>
          <w:sz w:val="28"/>
          <w:szCs w:val="28"/>
          <w:bdr w:val="none" w:sz="0" w:space="0" w:color="auto" w:frame="1"/>
          <w:lang w:val="en-IE" w:eastAsia="en-GB"/>
        </w:rPr>
        <w:t> </w:t>
      </w:r>
    </w:p>
    <w:p w14:paraId="5DD40459" w14:textId="77777777" w:rsidR="00496628" w:rsidRPr="00496628" w:rsidRDefault="00496628" w:rsidP="00496628">
      <w:pPr>
        <w:shd w:val="clear" w:color="auto" w:fill="FFFFFF"/>
        <w:spacing w:after="0" w:line="240" w:lineRule="auto"/>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 </w:t>
      </w:r>
    </w:p>
    <w:p w14:paraId="29B7A945" w14:textId="77777777" w:rsidR="00496628" w:rsidRPr="00496628" w:rsidRDefault="00496628" w:rsidP="00496628">
      <w:pPr>
        <w:shd w:val="clear" w:color="auto" w:fill="FFFFFF"/>
        <w:spacing w:after="0" w:line="240" w:lineRule="auto"/>
        <w:textAlignment w:val="baseline"/>
        <w:rPr>
          <w:rFonts w:ascii="Calibri" w:eastAsia="Times New Roman" w:hAnsi="Calibri" w:cs="Segoe UI"/>
          <w:color w:val="002451"/>
          <w:lang w:eastAsia="en-GB"/>
        </w:rPr>
      </w:pPr>
      <w:r w:rsidRPr="00496628">
        <w:rPr>
          <w:rFonts w:ascii="Calibri" w:eastAsia="Times New Roman" w:hAnsi="Calibri" w:cs="Segoe UI"/>
          <w:color w:val="000000"/>
          <w:sz w:val="28"/>
          <w:szCs w:val="28"/>
          <w:bdr w:val="none" w:sz="0" w:space="0" w:color="auto" w:frame="1"/>
          <w:lang w:val="en-IE" w:eastAsia="en-GB"/>
        </w:rPr>
        <w:t>I</w:t>
      </w:r>
      <w:r w:rsidRPr="00496628">
        <w:rPr>
          <w:rFonts w:ascii="inherit" w:eastAsia="Times New Roman" w:hAnsi="inherit" w:cs="Segoe UI"/>
          <w:color w:val="000000"/>
          <w:sz w:val="28"/>
          <w:szCs w:val="28"/>
          <w:bdr w:val="none" w:sz="0" w:space="0" w:color="auto" w:frame="1"/>
          <w:lang w:val="en-IE" w:eastAsia="en-GB"/>
        </w:rPr>
        <w:t>  </w:t>
      </w:r>
      <w:r w:rsidRPr="00496628">
        <w:rPr>
          <w:rFonts w:ascii="Calibri" w:eastAsia="Times New Roman" w:hAnsi="Calibri" w:cs="Segoe UI"/>
          <w:color w:val="000000"/>
          <w:sz w:val="28"/>
          <w:szCs w:val="28"/>
          <w:bdr w:val="none" w:sz="0" w:space="0" w:color="auto" w:frame="1"/>
          <w:lang w:val="en-IE" w:eastAsia="en-GB"/>
        </w:rPr>
        <w:t>note also that in the An Bord Pleanala inspectors report on refused application for two dwellings, one on the site the subject of this pre-planning application and one on the site the subject of grant of permission 14/019 (ABP ref. 04.220735 Cork County Council ref: 06/8149) noted the following:</w:t>
      </w:r>
      <w:r w:rsidRPr="00496628">
        <w:rPr>
          <w:rFonts w:ascii="inherit" w:eastAsia="Times New Roman" w:hAnsi="inherit" w:cs="Segoe UI"/>
          <w:color w:val="000000"/>
          <w:sz w:val="28"/>
          <w:szCs w:val="28"/>
          <w:bdr w:val="none" w:sz="0" w:space="0" w:color="auto" w:frame="1"/>
          <w:lang w:val="en-IE" w:eastAsia="en-GB"/>
        </w:rPr>
        <w:t> </w:t>
      </w:r>
    </w:p>
    <w:p w14:paraId="05E574DE" w14:textId="77777777" w:rsidR="00496628" w:rsidRPr="00496628" w:rsidRDefault="00496628" w:rsidP="00496628">
      <w:pPr>
        <w:shd w:val="clear" w:color="auto" w:fill="FFFFFF"/>
        <w:spacing w:after="0" w:line="240" w:lineRule="auto"/>
        <w:ind w:left="720"/>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w:t>
      </w:r>
      <w:r w:rsidRPr="00496628">
        <w:rPr>
          <w:rFonts w:ascii="inherit" w:eastAsia="Times New Roman" w:hAnsi="inherit" w:cs="Segoe UI"/>
          <w:i/>
          <w:iCs/>
          <w:color w:val="000000"/>
          <w:sz w:val="28"/>
          <w:szCs w:val="28"/>
          <w:bdr w:val="none" w:sz="0" w:space="0" w:color="auto" w:frame="1"/>
          <w:lang w:val="en-IE" w:eastAsia="en-GB"/>
        </w:rPr>
        <w:t>the former permission excluded development on the site which is now the attention of this appeal.  The conditions of the permission reserved this area as open space and a condition of the permission required that this area was to be sterilised from all other developments for a period of five years”. </w:t>
      </w:r>
    </w:p>
    <w:p w14:paraId="4EC10FFC"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The Inspectors Report also noted that: </w:t>
      </w:r>
    </w:p>
    <w:p w14:paraId="5F8F1E3F" w14:textId="77777777" w:rsidR="00496628" w:rsidRPr="00496628" w:rsidRDefault="00496628" w:rsidP="00496628">
      <w:pPr>
        <w:shd w:val="clear" w:color="auto" w:fill="FFFFFF"/>
        <w:spacing w:after="0" w:line="240" w:lineRule="auto"/>
        <w:ind w:left="720"/>
        <w:jc w:val="both"/>
        <w:textAlignment w:val="baseline"/>
        <w:rPr>
          <w:rFonts w:ascii="Calibri" w:eastAsia="Times New Roman" w:hAnsi="Calibri" w:cs="Segoe UI"/>
          <w:color w:val="002451"/>
          <w:lang w:eastAsia="en-GB"/>
        </w:rPr>
      </w:pPr>
      <w:r w:rsidRPr="00496628">
        <w:rPr>
          <w:rFonts w:ascii="inherit" w:eastAsia="Times New Roman" w:hAnsi="inherit" w:cs="Segoe UI"/>
          <w:i/>
          <w:iCs/>
          <w:color w:val="000000"/>
          <w:sz w:val="28"/>
          <w:szCs w:val="28"/>
          <w:bdr w:val="none" w:sz="0" w:space="0" w:color="auto" w:frame="1"/>
          <w:lang w:val="en-IE" w:eastAsia="en-GB"/>
        </w:rPr>
        <w:t>“The site may be described as open meadow.  There has been a successful attempt to provide a small mown area in front of the parking area ”. </w:t>
      </w:r>
    </w:p>
    <w:p w14:paraId="10883FB7" w14:textId="77777777" w:rsidR="00496628" w:rsidRPr="00496628" w:rsidRDefault="00496628" w:rsidP="00496628">
      <w:pPr>
        <w:shd w:val="clear" w:color="auto" w:fill="FFFFFF"/>
        <w:spacing w:after="0" w:line="240" w:lineRule="auto"/>
        <w:ind w:left="720"/>
        <w:jc w:val="both"/>
        <w:textAlignment w:val="baseline"/>
        <w:rPr>
          <w:rFonts w:ascii="Calibri" w:eastAsia="Times New Roman" w:hAnsi="Calibri" w:cs="Segoe UI"/>
          <w:color w:val="002451"/>
          <w:lang w:eastAsia="en-GB"/>
        </w:rPr>
      </w:pPr>
      <w:r w:rsidRPr="00496628">
        <w:rPr>
          <w:rFonts w:ascii="inherit" w:eastAsia="Times New Roman" w:hAnsi="inherit" w:cs="Segoe UI"/>
          <w:i/>
          <w:iCs/>
          <w:color w:val="000000"/>
          <w:sz w:val="28"/>
          <w:szCs w:val="28"/>
          <w:bdr w:val="none" w:sz="0" w:space="0" w:color="auto" w:frame="1"/>
          <w:lang w:val="en-IE" w:eastAsia="en-GB"/>
        </w:rPr>
        <w:t> </w:t>
      </w:r>
    </w:p>
    <w:p w14:paraId="56010760"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This matter is accepted and indeed it would be my proposal to enhance this area further by providing a slightly larger area for recreation and enjoyment of the residents. The general amenities of the estate could be further enhanced by the provision of a pedestrian access and opening of the boundaries between the estate and lands which are within public ownership to the southwest of the subject site, these lands being zoned Public Amenity Space. The attached sketch site layout indicates lands in excess of those currently accessible as amenity space which could be ceded to the estate Management Company. A pathway could then be provided as indicated to provide access to the Council lands with the appropriate Public Open Space zoning.</w:t>
      </w:r>
      <w:r w:rsidRPr="00496628">
        <w:rPr>
          <w:rFonts w:ascii="inherit" w:eastAsia="Times New Roman" w:hAnsi="inherit" w:cs="Segoe UI"/>
          <w:color w:val="000000"/>
          <w:sz w:val="28"/>
          <w:szCs w:val="28"/>
          <w:bdr w:val="none" w:sz="0" w:space="0" w:color="auto" w:frame="1"/>
          <w:lang w:eastAsia="en-GB"/>
        </w:rPr>
        <w:t> </w:t>
      </w:r>
    </w:p>
    <w:p w14:paraId="0084DB0D"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p>
    <w:p w14:paraId="03D427CA"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Whilst An Bord Pleanala note that small extent of open space has some value and that the full extent of the site should be so developed, this will not happen. However, the An Bord Pleanala Inspectors comments in relation to same are noted and comment upon below: </w:t>
      </w:r>
    </w:p>
    <w:p w14:paraId="7D072E59"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482"/>
        <w:gridCol w:w="4524"/>
      </w:tblGrid>
      <w:tr w:rsidR="00496628" w:rsidRPr="00496628" w14:paraId="1FB9A8D8" w14:textId="77777777" w:rsidTr="00496628">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9F9FD" w14:textId="77777777" w:rsidR="00496628" w:rsidRPr="00496628" w:rsidRDefault="00496628" w:rsidP="00496628">
            <w:pPr>
              <w:spacing w:after="0" w:line="240" w:lineRule="auto"/>
              <w:jc w:val="both"/>
              <w:rPr>
                <w:rFonts w:ascii="Calibri" w:eastAsia="Times New Roman" w:hAnsi="Calibri" w:cs="Times New Roman"/>
                <w:color w:val="002451"/>
                <w:lang w:eastAsia="en-GB"/>
              </w:rPr>
            </w:pPr>
            <w:r w:rsidRPr="00496628">
              <w:rPr>
                <w:rFonts w:ascii="inherit" w:eastAsia="Times New Roman" w:hAnsi="inherit" w:cs="Times New Roman"/>
                <w:b/>
                <w:bCs/>
                <w:i/>
                <w:iCs/>
                <w:color w:val="000000"/>
                <w:sz w:val="28"/>
                <w:szCs w:val="28"/>
                <w:bdr w:val="none" w:sz="0" w:space="0" w:color="auto" w:frame="1"/>
                <w:lang w:val="en-IE" w:eastAsia="en-GB"/>
              </w:rPr>
              <w:t>“It would be reasonable to state that the design and layout of the housing scheme has to a significant extent, been benefited by the location of the open site relative to the housing units.  The open site area thus provides something of a </w:t>
            </w:r>
            <w:r w:rsidRPr="00496628">
              <w:rPr>
                <w:rFonts w:ascii="inherit" w:eastAsia="Times New Roman" w:hAnsi="inherit" w:cs="Times New Roman"/>
                <w:b/>
                <w:bCs/>
                <w:i/>
                <w:iCs/>
                <w:color w:val="000000"/>
                <w:sz w:val="28"/>
                <w:szCs w:val="28"/>
                <w:u w:val="single"/>
                <w:bdr w:val="none" w:sz="0" w:space="0" w:color="auto" w:frame="1"/>
                <w:lang w:val="en-IE" w:eastAsia="en-GB"/>
              </w:rPr>
              <w:t>natural open space area directly associated with the housing scheme</w:t>
            </w:r>
            <w:r w:rsidRPr="00496628">
              <w:rPr>
                <w:rFonts w:ascii="inherit" w:eastAsia="Times New Roman" w:hAnsi="inherit" w:cs="Times New Roman"/>
                <w:color w:val="000000"/>
                <w:sz w:val="28"/>
                <w:szCs w:val="28"/>
                <w:bdr w:val="none" w:sz="0" w:space="0" w:color="auto" w:frame="1"/>
                <w:lang w:val="en-IE" w:eastAsia="en-GB"/>
              </w:rPr>
              <w:t>”. </w:t>
            </w: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8177C" w14:textId="77777777" w:rsidR="00496628" w:rsidRPr="00496628" w:rsidRDefault="00496628" w:rsidP="00496628">
            <w:pPr>
              <w:spacing w:after="0" w:line="240" w:lineRule="auto"/>
              <w:jc w:val="both"/>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The open space was conditioned for a period of 5 years. In attaching this time limit, the Planning Authority clearly foreseen that circumstances relating to the need for the area to provide open space would change This could have been due to foresight in terms of the emerging planning policy and that the fact that the site abuts a vast public open space amenity would render the need for internal open space void.  </w:t>
            </w:r>
          </w:p>
        </w:tc>
      </w:tr>
      <w:tr w:rsidR="00496628" w:rsidRPr="00496628" w14:paraId="4FBF59F4" w14:textId="77777777" w:rsidTr="00496628">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F342C" w14:textId="77777777" w:rsidR="00496628" w:rsidRPr="00496628" w:rsidRDefault="00496628" w:rsidP="00496628">
            <w:pPr>
              <w:shd w:val="clear" w:color="auto" w:fill="FFFFFF"/>
              <w:spacing w:after="0" w:line="240" w:lineRule="auto"/>
              <w:jc w:val="both"/>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w:t>
            </w:r>
            <w:r w:rsidRPr="00496628">
              <w:rPr>
                <w:rFonts w:ascii="inherit" w:eastAsia="Times New Roman" w:hAnsi="inherit" w:cs="Times New Roman"/>
                <w:i/>
                <w:iCs/>
                <w:color w:val="000000"/>
                <w:sz w:val="28"/>
                <w:szCs w:val="28"/>
                <w:bdr w:val="none" w:sz="0" w:space="0" w:color="auto" w:frame="1"/>
                <w:lang w:val="en-IE" w:eastAsia="en-GB"/>
              </w:rPr>
              <w:t>The conditions retaining this area free of development clearly had </w:t>
            </w:r>
            <w:r w:rsidRPr="00496628">
              <w:rPr>
                <w:rFonts w:ascii="inherit" w:eastAsia="Times New Roman" w:hAnsi="inherit" w:cs="Times New Roman"/>
                <w:b/>
                <w:bCs/>
                <w:i/>
                <w:iCs/>
                <w:color w:val="000000"/>
                <w:sz w:val="28"/>
                <w:szCs w:val="28"/>
                <w:u w:val="single"/>
                <w:bdr w:val="none" w:sz="0" w:space="0" w:color="auto" w:frame="1"/>
                <w:lang w:val="en-IE" w:eastAsia="en-GB"/>
              </w:rPr>
              <w:t>a long term or indefinite intent</w:t>
            </w:r>
            <w:r w:rsidRPr="00496628">
              <w:rPr>
                <w:rFonts w:ascii="inherit" w:eastAsia="Times New Roman" w:hAnsi="inherit" w:cs="Times New Roman"/>
                <w:i/>
                <w:iCs/>
                <w:color w:val="000000"/>
                <w:sz w:val="28"/>
                <w:szCs w:val="28"/>
                <w:bdr w:val="none" w:sz="0" w:space="0" w:color="auto" w:frame="1"/>
                <w:lang w:val="en-IE" w:eastAsia="en-GB"/>
              </w:rPr>
              <w:t> in that further conditions required that the area be landscaped.  The subsequent agreement between developer and County Council not to carry out any actual physical landscaping works within the area is now part of the grounds of the appellant’s appeal</w:t>
            </w:r>
            <w:r w:rsidRPr="00496628">
              <w:rPr>
                <w:rFonts w:ascii="inherit" w:eastAsia="Times New Roman" w:hAnsi="inherit" w:cs="Times New Roman"/>
                <w:b/>
                <w:bCs/>
                <w:i/>
                <w:iCs/>
                <w:color w:val="000000"/>
                <w:sz w:val="28"/>
                <w:szCs w:val="28"/>
                <w:bdr w:val="none" w:sz="0" w:space="0" w:color="auto" w:frame="1"/>
                <w:lang w:val="en-IE" w:eastAsia="en-GB"/>
              </w:rPr>
              <w:t>.  </w:t>
            </w:r>
            <w:r w:rsidRPr="00496628">
              <w:rPr>
                <w:rFonts w:ascii="inherit" w:eastAsia="Times New Roman" w:hAnsi="inherit" w:cs="Times New Roman"/>
                <w:b/>
                <w:bCs/>
                <w:i/>
                <w:iCs/>
                <w:color w:val="000000"/>
                <w:sz w:val="28"/>
                <w:szCs w:val="28"/>
                <w:u w:val="single"/>
                <w:bdr w:val="none" w:sz="0" w:space="0" w:color="auto" w:frame="1"/>
                <w:lang w:val="en-IE" w:eastAsia="en-GB"/>
              </w:rPr>
              <w:t>This would not, in my view, alter the clear intent of the council to have this area retained for amenity uses</w:t>
            </w:r>
            <w:r w:rsidRPr="00496628">
              <w:rPr>
                <w:rFonts w:ascii="inherit" w:eastAsia="Times New Roman" w:hAnsi="inherit" w:cs="Times New Roman"/>
                <w:color w:val="000000"/>
                <w:sz w:val="28"/>
                <w:szCs w:val="28"/>
                <w:u w:val="single"/>
                <w:bdr w:val="none" w:sz="0" w:space="0" w:color="auto" w:frame="1"/>
                <w:lang w:val="en-IE" w:eastAsia="en-GB"/>
              </w:rPr>
              <w:t>.”</w:t>
            </w:r>
            <w:r w:rsidRPr="00496628">
              <w:rPr>
                <w:rFonts w:ascii="inherit" w:eastAsia="Times New Roman" w:hAnsi="inherit" w:cs="Times New Roman"/>
                <w:color w:val="000000"/>
                <w:sz w:val="28"/>
                <w:szCs w:val="28"/>
                <w:bdr w:val="none" w:sz="0" w:space="0" w:color="auto" w:frame="1"/>
                <w:lang w:val="en-IE" w:eastAsia="en-GB"/>
              </w:rPr>
              <w:t> </w:t>
            </w:r>
          </w:p>
          <w:p w14:paraId="00D13D53" w14:textId="77777777" w:rsidR="00496628" w:rsidRPr="00496628" w:rsidRDefault="00496628" w:rsidP="00496628">
            <w:pPr>
              <w:shd w:val="clear" w:color="auto" w:fill="FFFFFF"/>
              <w:spacing w:after="0" w:line="240" w:lineRule="auto"/>
              <w:ind w:left="720" w:firstLine="360"/>
              <w:jc w:val="both"/>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w:t>
            </w:r>
          </w:p>
          <w:p w14:paraId="762A5B9C" w14:textId="77777777" w:rsidR="00496628" w:rsidRPr="00496628" w:rsidRDefault="00496628" w:rsidP="00496628">
            <w:pPr>
              <w:spacing w:after="0" w:line="240" w:lineRule="auto"/>
              <w:jc w:val="both"/>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14:paraId="5209744C" w14:textId="77777777" w:rsidR="00496628" w:rsidRPr="00496628" w:rsidRDefault="00496628" w:rsidP="00496628">
            <w:pPr>
              <w:spacing w:after="0" w:line="240" w:lineRule="auto"/>
              <w:jc w:val="both"/>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Whilst I am mindful of the thrust of the An Bord Pleanála Inspectors comments, it is not appropriate to make permanent assumptions that can be so easily reversed when the basis for the comments is based on a temporary measure. It is right and fitting that an open area should be landscaped, even if it’s use as such already has a predefined time limit of years.  Conditioning the use of the land as a temporary open space for years would have been without logic, if a landscaping condition had not also been applied.  </w:t>
            </w:r>
          </w:p>
        </w:tc>
      </w:tr>
    </w:tbl>
    <w:p w14:paraId="7AEAD761"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 </w:t>
      </w:r>
    </w:p>
    <w:p w14:paraId="1E559A1A"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i/>
          <w:iCs/>
          <w:color w:val="000000"/>
          <w:sz w:val="28"/>
          <w:szCs w:val="28"/>
          <w:bdr w:val="none" w:sz="0" w:space="0" w:color="auto" w:frame="1"/>
          <w:lang w:val="en-IE" w:eastAsia="en-GB"/>
        </w:rPr>
        <w:t> </w:t>
      </w:r>
    </w:p>
    <w:p w14:paraId="5505A6A5"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b/>
          <w:bCs/>
          <w:color w:val="000000"/>
          <w:sz w:val="28"/>
          <w:szCs w:val="28"/>
          <w:bdr w:val="none" w:sz="0" w:space="0" w:color="auto" w:frame="1"/>
          <w:lang w:val="en-IE" w:eastAsia="en-GB"/>
        </w:rPr>
        <w:t xml:space="preserve">Given that the objective of compact growth is now well engrained in all national and regional planning policy and decision making, is it sustainable for a disused plot to be left in a derelict state as currently exists on the site when it can be developed to satisfy a bona-fide housing need,  whilst at the same time enhancing the residential amenities of the estate residents? The govt has also instructed  the </w:t>
      </w:r>
      <w:r w:rsidRPr="00496628">
        <w:rPr>
          <w:rFonts w:ascii="inherit" w:eastAsia="Times New Roman" w:hAnsi="inherit" w:cs="Segoe UI"/>
          <w:b/>
          <w:bCs/>
          <w:color w:val="000000"/>
          <w:sz w:val="28"/>
          <w:szCs w:val="28"/>
          <w:bdr w:val="none" w:sz="0" w:space="0" w:color="auto" w:frame="1"/>
          <w:lang w:val="en-IE" w:eastAsia="en-GB"/>
        </w:rPr>
        <w:lastRenderedPageBreak/>
        <w:t>councils to expedite the planning permissions for the derelict sites due to the shortage of the housing units.</w:t>
      </w:r>
      <w:r w:rsidRPr="00496628">
        <w:rPr>
          <w:rFonts w:ascii="inherit" w:eastAsia="Times New Roman" w:hAnsi="inherit" w:cs="Segoe UI"/>
          <w:color w:val="000000"/>
          <w:sz w:val="28"/>
          <w:szCs w:val="28"/>
          <w:bdr w:val="none" w:sz="0" w:space="0" w:color="auto" w:frame="1"/>
          <w:lang w:val="en-IE" w:eastAsia="en-GB"/>
        </w:rPr>
        <w:t> </w:t>
      </w:r>
    </w:p>
    <w:p w14:paraId="54D6E18E"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 </w:t>
      </w:r>
    </w:p>
    <w:p w14:paraId="5297E7B7"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The fact that the plot has been left undeveloped and that this is not the ideal situation is not just hearsay.</w:t>
      </w:r>
      <w:r w:rsidRPr="00496628">
        <w:rPr>
          <w:rFonts w:ascii="inherit" w:eastAsia="Times New Roman" w:hAnsi="inherit" w:cs="Segoe UI"/>
          <w:b/>
          <w:bCs/>
          <w:color w:val="000000"/>
          <w:sz w:val="28"/>
          <w:szCs w:val="28"/>
          <w:bdr w:val="none" w:sz="0" w:space="0" w:color="auto" w:frame="1"/>
          <w:lang w:val="en-IE" w:eastAsia="en-GB"/>
        </w:rPr>
        <w:t> </w:t>
      </w:r>
      <w:r w:rsidRPr="00496628">
        <w:rPr>
          <w:rFonts w:ascii="inherit" w:eastAsia="Times New Roman" w:hAnsi="inherit" w:cs="Segoe UI"/>
          <w:color w:val="000000"/>
          <w:sz w:val="28"/>
          <w:szCs w:val="28"/>
          <w:bdr w:val="none" w:sz="0" w:space="0" w:color="auto" w:frame="1"/>
          <w:lang w:val="en-IE" w:eastAsia="en-GB"/>
        </w:rPr>
        <w:t>The plot is regularly used for loitering and antisocial behaviour because, the plot is not informally surveyed by the public as it is not in public view, nor is it within a public area where the public will be passing, and the Local Authority could take measures to avoid same. Loitering and antisocial behaviour can flourish, within a residential estate and within eyeshot and earshot of the residents of same. This is not a situation that should be encouraged by the Local Authority. The Garda in the Douglas station also hinted that such derelict sites can also be used by antisocial elements and an untoward/ ugly incident in the premises could harm the residents of the estate.</w:t>
      </w:r>
    </w:p>
    <w:p w14:paraId="28A13D3C"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 </w:t>
      </w:r>
    </w:p>
    <w:p w14:paraId="4CB6F3E6"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Segoe UI"/>
          <w:color w:val="002451"/>
          <w:lang w:eastAsia="en-GB"/>
        </w:rPr>
      </w:pPr>
      <w:r w:rsidRPr="00496628">
        <w:rPr>
          <w:rFonts w:ascii="inherit" w:eastAsia="Times New Roman" w:hAnsi="inherit" w:cs="Segoe UI"/>
          <w:color w:val="000000"/>
          <w:sz w:val="28"/>
          <w:szCs w:val="28"/>
          <w:bdr w:val="none" w:sz="0" w:space="0" w:color="auto" w:frame="1"/>
          <w:lang w:val="en-IE" w:eastAsia="en-GB"/>
        </w:rPr>
        <w:t>The open lands with steep slant opposite to the apartment building is quite a big area. The front 10 meters of these land are not very steep and can be easily flattened or converted into gradual slant which can be easily landscaped enhancing the ergonomics of the entire estate, on one hand and providing a useable child playing area within the visual range and supervision of residents.     </w:t>
      </w:r>
      <w:r w:rsidRPr="00496628">
        <w:rPr>
          <w:rFonts w:ascii="inherit" w:eastAsia="Times New Roman" w:hAnsi="inherit" w:cs="Segoe UI"/>
          <w:b/>
          <w:bCs/>
          <w:color w:val="000000"/>
          <w:sz w:val="28"/>
          <w:szCs w:val="28"/>
          <w:bdr w:val="none" w:sz="0" w:space="0" w:color="auto" w:frame="1"/>
          <w:lang w:val="en-IE" w:eastAsia="en-GB"/>
        </w:rPr>
        <w:t> </w:t>
      </w:r>
    </w:p>
    <w:p w14:paraId="21B794E0"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b/>
          <w:bCs/>
          <w:color w:val="000000"/>
          <w:sz w:val="28"/>
          <w:szCs w:val="28"/>
          <w:bdr w:val="none" w:sz="0" w:space="0" w:color="auto" w:frame="1"/>
          <w:lang w:val="en-IE" w:eastAsia="en-GB"/>
        </w:rPr>
        <w:t> </w:t>
      </w:r>
    </w:p>
    <w:p w14:paraId="1AD71272"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b/>
          <w:bCs/>
          <w:color w:val="000000"/>
          <w:sz w:val="28"/>
          <w:szCs w:val="28"/>
          <w:bdr w:val="none" w:sz="0" w:space="0" w:color="auto" w:frame="1"/>
          <w:lang w:val="en-IE" w:eastAsia="en-GB"/>
        </w:rPr>
        <w:t> </w:t>
      </w:r>
      <w:r w:rsidRPr="00496628">
        <w:rPr>
          <w:rFonts w:ascii="inherit" w:eastAsia="Times New Roman" w:hAnsi="inherit" w:cs="Times New Roman"/>
          <w:color w:val="000000"/>
          <w:sz w:val="28"/>
          <w:szCs w:val="28"/>
          <w:bdr w:val="none" w:sz="0" w:space="0" w:color="auto" w:frame="1"/>
          <w:lang w:val="en-IE" w:eastAsia="en-GB"/>
        </w:rPr>
        <w:t> </w:t>
      </w:r>
    </w:p>
    <w:p w14:paraId="47EB5450"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w:t>
      </w:r>
    </w:p>
    <w:p w14:paraId="2A0E640B" w14:textId="48F6D992"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b/>
          <w:bCs/>
          <w:color w:val="000000"/>
          <w:sz w:val="28"/>
          <w:szCs w:val="28"/>
          <w:bdr w:val="none" w:sz="0" w:space="0" w:color="auto" w:frame="1"/>
          <w:lang w:val="en-IE" w:eastAsia="en-GB"/>
        </w:rPr>
        <w:t>In summary the following</w:t>
      </w:r>
      <w:r>
        <w:rPr>
          <w:rFonts w:ascii="inherit" w:eastAsia="Times New Roman" w:hAnsi="inherit" w:cs="Times New Roman"/>
          <w:b/>
          <w:bCs/>
          <w:color w:val="000000"/>
          <w:sz w:val="28"/>
          <w:szCs w:val="28"/>
          <w:bdr w:val="none" w:sz="0" w:space="0" w:color="auto" w:frame="1"/>
          <w:lang w:val="en-IE" w:eastAsia="en-GB"/>
        </w:rPr>
        <w:t xml:space="preserve"> </w:t>
      </w:r>
      <w:r w:rsidRPr="00496628">
        <w:rPr>
          <w:rFonts w:ascii="inherit" w:eastAsia="Times New Roman" w:hAnsi="inherit" w:cs="Times New Roman"/>
          <w:b/>
          <w:bCs/>
          <w:color w:val="000000"/>
          <w:sz w:val="28"/>
          <w:szCs w:val="28"/>
          <w:bdr w:val="none" w:sz="0" w:space="0" w:color="auto" w:frame="1"/>
          <w:lang w:val="en-IE" w:eastAsia="en-GB"/>
        </w:rPr>
        <w:t>:</w:t>
      </w:r>
      <w:r w:rsidRPr="00496628">
        <w:rPr>
          <w:rFonts w:ascii="inherit" w:eastAsia="Times New Roman" w:hAnsi="inherit" w:cs="Times New Roman"/>
          <w:color w:val="000000"/>
          <w:sz w:val="28"/>
          <w:szCs w:val="28"/>
          <w:bdr w:val="none" w:sz="0" w:space="0" w:color="auto" w:frame="1"/>
          <w:lang w:val="en-IE" w:eastAsia="en-GB"/>
        </w:rPr>
        <w:t> </w:t>
      </w:r>
    </w:p>
    <w:p w14:paraId="0520D1D1"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w:t>
      </w:r>
    </w:p>
    <w:p w14:paraId="571DEDE8" w14:textId="41058FA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1-The site is in private ownership and not within the common areas of the estate.I</w:t>
      </w:r>
      <w:r w:rsidRPr="00496628">
        <w:rPr>
          <w:rFonts w:ascii="Calibri" w:eastAsia="Times New Roman" w:hAnsi="Calibri" w:cs="Times New Roman"/>
          <w:color w:val="000000"/>
          <w:sz w:val="28"/>
          <w:szCs w:val="28"/>
          <w:bdr w:val="none" w:sz="0" w:space="0" w:color="auto" w:frame="1"/>
          <w:lang w:val="en-IE" w:eastAsia="en-GB"/>
        </w:rPr>
        <w:t>t cannot be developed as open amenity area   without change of ownership which will remain a derelict site for an indefinite period, as has been for the last 20 years and a source of antisocial elements and activities.</w:t>
      </w:r>
    </w:p>
    <w:p w14:paraId="323CB2DA"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2_</w:t>
      </w:r>
      <w:r w:rsidRPr="00496628">
        <w:rPr>
          <w:rFonts w:ascii="Calibri" w:eastAsia="Times New Roman" w:hAnsi="Calibri" w:cs="Times New Roman"/>
          <w:color w:val="000000"/>
          <w:sz w:val="28"/>
          <w:szCs w:val="28"/>
          <w:bdr w:val="none" w:sz="0" w:space="0" w:color="auto" w:frame="1"/>
          <w:lang w:val="en-IE" w:eastAsia="en-GB"/>
        </w:rPr>
        <w:t>As stated above, the large barren area</w:t>
      </w:r>
      <w:r w:rsidRPr="00496628">
        <w:rPr>
          <w:rFonts w:ascii="inherit" w:eastAsia="Times New Roman" w:hAnsi="inherit" w:cs="Times New Roman"/>
          <w:color w:val="000000"/>
          <w:sz w:val="28"/>
          <w:szCs w:val="28"/>
          <w:bdr w:val="none" w:sz="0" w:space="0" w:color="auto" w:frame="1"/>
          <w:lang w:val="en-IE" w:eastAsia="en-GB"/>
        </w:rPr>
        <w:t> </w:t>
      </w:r>
      <w:r w:rsidRPr="00496628">
        <w:rPr>
          <w:rFonts w:ascii="Calibri" w:eastAsia="Times New Roman" w:hAnsi="Calibri" w:cs="Times New Roman"/>
          <w:color w:val="000000"/>
          <w:sz w:val="28"/>
          <w:szCs w:val="28"/>
          <w:bdr w:val="none" w:sz="0" w:space="0" w:color="auto" w:frame="1"/>
          <w:lang w:val="en-IE" w:eastAsia="en-GB"/>
        </w:rPr>
        <w:t>in the middle of estate is most suitable amenity area, both from recreational and visual standard. This can be achieved by flattening or creating gradual slop of the ground, which will a and a safe place for the children under direct supervision and view of the residents.                  </w:t>
      </w:r>
    </w:p>
    <w:p w14:paraId="5DA6194E"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w:t>
      </w:r>
      <w:r w:rsidRPr="00496628">
        <w:rPr>
          <w:rFonts w:ascii="Calibri" w:eastAsia="Times New Roman" w:hAnsi="Calibri" w:cs="Times New Roman"/>
          <w:color w:val="000000"/>
          <w:sz w:val="28"/>
          <w:szCs w:val="28"/>
          <w:bdr w:val="none" w:sz="0" w:space="0" w:color="auto" w:frame="1"/>
          <w:lang w:val="en-IE" w:eastAsia="en-GB"/>
        </w:rPr>
        <w:t> 3-Since the change of zoning, Maryborough Hill has now moved to city council boundaries from county council and the provision of amenity area is not prerequisite for a small estate like this. There are no amenity areas in the estate adjoining.</w:t>
      </w:r>
      <w:r w:rsidRPr="00496628">
        <w:rPr>
          <w:rFonts w:ascii="inherit" w:eastAsia="Times New Roman" w:hAnsi="inherit" w:cs="Times New Roman"/>
          <w:color w:val="000000"/>
          <w:sz w:val="28"/>
          <w:szCs w:val="28"/>
          <w:bdr w:val="none" w:sz="0" w:space="0" w:color="auto" w:frame="1"/>
          <w:lang w:val="en-IE" w:eastAsia="en-GB"/>
        </w:rPr>
        <w:t> </w:t>
      </w:r>
    </w:p>
    <w:p w14:paraId="4825A372"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Calibri" w:eastAsia="Times New Roman" w:hAnsi="Calibri" w:cs="Times New Roman"/>
          <w:color w:val="000000"/>
          <w:sz w:val="28"/>
          <w:szCs w:val="28"/>
          <w:bdr w:val="none" w:sz="0" w:space="0" w:color="auto" w:frame="1"/>
          <w:lang w:val="en-IE" w:eastAsia="en-GB"/>
        </w:rPr>
        <w:t>        4_Noncompliance with grant of permission 01/1391 and conditions attached thereto is now statute barred and enforcement action cannot be taken by the Planning Authority. This will remain a derelict area, which could be source of nuisance and antisocial activities within the estate.   </w:t>
      </w:r>
      <w:r w:rsidRPr="00496628">
        <w:rPr>
          <w:rFonts w:ascii="inherit" w:eastAsia="Times New Roman" w:hAnsi="inherit" w:cs="Times New Roman"/>
          <w:color w:val="000000"/>
          <w:sz w:val="28"/>
          <w:szCs w:val="28"/>
          <w:bdr w:val="none" w:sz="0" w:space="0" w:color="auto" w:frame="1"/>
          <w:lang w:val="en-IE" w:eastAsia="en-GB"/>
        </w:rPr>
        <w:t> </w:t>
      </w:r>
    </w:p>
    <w:p w14:paraId="66FC2BA5"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5_Recently Government has instructed the relevant sections to expedite the planning applications for the derelict sites on priority basis.  </w:t>
      </w:r>
    </w:p>
    <w:p w14:paraId="732353F9"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br/>
      </w:r>
    </w:p>
    <w:p w14:paraId="2D595B0A"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Therefore I would humbly urge you to grant the planning permission which has been applied  since 2019</w:t>
      </w:r>
    </w:p>
    <w:p w14:paraId="5806518B"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p>
    <w:p w14:paraId="05732335" w14:textId="77777777" w:rsidR="00496628" w:rsidRPr="00496628" w:rsidRDefault="00496628" w:rsidP="00496628">
      <w:pPr>
        <w:shd w:val="clear" w:color="auto" w:fill="FFFFFF"/>
        <w:spacing w:after="0" w:line="240" w:lineRule="auto"/>
        <w:jc w:val="both"/>
        <w:textAlignment w:val="baseline"/>
        <w:rPr>
          <w:rFonts w:ascii="Calibri" w:eastAsia="Times New Roman" w:hAnsi="Calibri" w:cs="Times New Roman"/>
          <w:color w:val="002451"/>
          <w:lang w:eastAsia="en-GB"/>
        </w:rPr>
      </w:pPr>
      <w:r w:rsidRPr="00496628">
        <w:rPr>
          <w:rFonts w:ascii="inherit" w:eastAsia="Times New Roman" w:hAnsi="inherit" w:cs="Times New Roman"/>
          <w:color w:val="000000"/>
          <w:sz w:val="28"/>
          <w:szCs w:val="28"/>
          <w:bdr w:val="none" w:sz="0" w:space="0" w:color="auto" w:frame="1"/>
          <w:lang w:val="en-IE" w:eastAsia="en-GB"/>
        </w:rPr>
        <w:t> </w:t>
      </w:r>
    </w:p>
    <w:p w14:paraId="4FF7A2CF" w14:textId="5BCAFA91" w:rsidR="0086747A" w:rsidRDefault="0086747A"/>
    <w:sectPr w:rsidR="00867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49"/>
    <w:rsid w:val="002A6304"/>
    <w:rsid w:val="00496628"/>
    <w:rsid w:val="00632F08"/>
    <w:rsid w:val="0086747A"/>
    <w:rsid w:val="00D7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EE67"/>
  <w15:chartTrackingRefBased/>
  <w15:docId w15:val="{56243941-3315-473F-B1CC-92C6E6C2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47627">
      <w:bodyDiv w:val="1"/>
      <w:marLeft w:val="0"/>
      <w:marRight w:val="0"/>
      <w:marTop w:val="0"/>
      <w:marBottom w:val="0"/>
      <w:divBdr>
        <w:top w:val="none" w:sz="0" w:space="0" w:color="auto"/>
        <w:left w:val="none" w:sz="0" w:space="0" w:color="auto"/>
        <w:bottom w:val="none" w:sz="0" w:space="0" w:color="auto"/>
        <w:right w:val="none" w:sz="0" w:space="0" w:color="auto"/>
      </w:divBdr>
      <w:divsChild>
        <w:div w:id="758064379">
          <w:marLeft w:val="0"/>
          <w:marRight w:val="0"/>
          <w:marTop w:val="0"/>
          <w:marBottom w:val="0"/>
          <w:divBdr>
            <w:top w:val="none" w:sz="0" w:space="0" w:color="auto"/>
            <w:left w:val="none" w:sz="0" w:space="0" w:color="auto"/>
            <w:bottom w:val="none" w:sz="0" w:space="0" w:color="auto"/>
            <w:right w:val="none" w:sz="0" w:space="0" w:color="auto"/>
          </w:divBdr>
        </w:div>
        <w:div w:id="1047341811">
          <w:marLeft w:val="0"/>
          <w:marRight w:val="0"/>
          <w:marTop w:val="0"/>
          <w:marBottom w:val="0"/>
          <w:divBdr>
            <w:top w:val="none" w:sz="0" w:space="0" w:color="auto"/>
            <w:left w:val="none" w:sz="0" w:space="0" w:color="auto"/>
            <w:bottom w:val="none" w:sz="0" w:space="0" w:color="auto"/>
            <w:right w:val="none" w:sz="0" w:space="0" w:color="auto"/>
          </w:divBdr>
        </w:div>
      </w:divsChild>
    </w:div>
    <w:div w:id="1220167214">
      <w:bodyDiv w:val="1"/>
      <w:marLeft w:val="0"/>
      <w:marRight w:val="0"/>
      <w:marTop w:val="0"/>
      <w:marBottom w:val="0"/>
      <w:divBdr>
        <w:top w:val="none" w:sz="0" w:space="0" w:color="auto"/>
        <w:left w:val="none" w:sz="0" w:space="0" w:color="auto"/>
        <w:bottom w:val="none" w:sz="0" w:space="0" w:color="auto"/>
        <w:right w:val="none" w:sz="0" w:space="0" w:color="auto"/>
      </w:divBdr>
      <w:divsChild>
        <w:div w:id="347296063">
          <w:marLeft w:val="0"/>
          <w:marRight w:val="0"/>
          <w:marTop w:val="0"/>
          <w:marBottom w:val="0"/>
          <w:divBdr>
            <w:top w:val="none" w:sz="0" w:space="0" w:color="auto"/>
            <w:left w:val="none" w:sz="0" w:space="0" w:color="auto"/>
            <w:bottom w:val="none" w:sz="0" w:space="0" w:color="auto"/>
            <w:right w:val="none" w:sz="0" w:space="0" w:color="auto"/>
          </w:divBdr>
        </w:div>
        <w:div w:id="125707332">
          <w:marLeft w:val="0"/>
          <w:marRight w:val="0"/>
          <w:marTop w:val="0"/>
          <w:marBottom w:val="0"/>
          <w:divBdr>
            <w:top w:val="none" w:sz="0" w:space="0" w:color="auto"/>
            <w:left w:val="none" w:sz="0" w:space="0" w:color="auto"/>
            <w:bottom w:val="none" w:sz="0" w:space="0" w:color="auto"/>
            <w:right w:val="none" w:sz="0" w:space="0" w:color="auto"/>
          </w:divBdr>
        </w:div>
      </w:divsChild>
    </w:div>
    <w:div w:id="1609852984">
      <w:bodyDiv w:val="1"/>
      <w:marLeft w:val="0"/>
      <w:marRight w:val="0"/>
      <w:marTop w:val="0"/>
      <w:marBottom w:val="0"/>
      <w:divBdr>
        <w:top w:val="none" w:sz="0" w:space="0" w:color="auto"/>
        <w:left w:val="none" w:sz="0" w:space="0" w:color="auto"/>
        <w:bottom w:val="none" w:sz="0" w:space="0" w:color="auto"/>
        <w:right w:val="none" w:sz="0" w:space="0" w:color="auto"/>
      </w:divBdr>
      <w:divsChild>
        <w:div w:id="1450008866">
          <w:marLeft w:val="0"/>
          <w:marRight w:val="0"/>
          <w:marTop w:val="0"/>
          <w:marBottom w:val="0"/>
          <w:divBdr>
            <w:top w:val="none" w:sz="0" w:space="0" w:color="auto"/>
            <w:left w:val="none" w:sz="0" w:space="0" w:color="auto"/>
            <w:bottom w:val="none" w:sz="0" w:space="0" w:color="auto"/>
            <w:right w:val="none" w:sz="0" w:space="0" w:color="auto"/>
          </w:divBdr>
          <w:divsChild>
            <w:div w:id="563490380">
              <w:marLeft w:val="0"/>
              <w:marRight w:val="0"/>
              <w:marTop w:val="0"/>
              <w:marBottom w:val="0"/>
              <w:divBdr>
                <w:top w:val="none" w:sz="0" w:space="0" w:color="auto"/>
                <w:left w:val="none" w:sz="0" w:space="0" w:color="auto"/>
                <w:bottom w:val="none" w:sz="0" w:space="0" w:color="auto"/>
                <w:right w:val="none" w:sz="0" w:space="0" w:color="auto"/>
              </w:divBdr>
            </w:div>
            <w:div w:id="688684748">
              <w:marLeft w:val="0"/>
              <w:marRight w:val="0"/>
              <w:marTop w:val="0"/>
              <w:marBottom w:val="0"/>
              <w:divBdr>
                <w:top w:val="none" w:sz="0" w:space="0" w:color="auto"/>
                <w:left w:val="none" w:sz="0" w:space="0" w:color="auto"/>
                <w:bottom w:val="none" w:sz="0" w:space="0" w:color="auto"/>
                <w:right w:val="none" w:sz="0" w:space="0" w:color="auto"/>
              </w:divBdr>
            </w:div>
            <w:div w:id="2079982372">
              <w:marLeft w:val="0"/>
              <w:marRight w:val="0"/>
              <w:marTop w:val="0"/>
              <w:marBottom w:val="0"/>
              <w:divBdr>
                <w:top w:val="none" w:sz="0" w:space="0" w:color="auto"/>
                <w:left w:val="none" w:sz="0" w:space="0" w:color="auto"/>
                <w:bottom w:val="none" w:sz="0" w:space="0" w:color="auto"/>
                <w:right w:val="none" w:sz="0" w:space="0" w:color="auto"/>
              </w:divBdr>
            </w:div>
            <w:div w:id="2091609903">
              <w:marLeft w:val="0"/>
              <w:marRight w:val="0"/>
              <w:marTop w:val="0"/>
              <w:marBottom w:val="0"/>
              <w:divBdr>
                <w:top w:val="none" w:sz="0" w:space="0" w:color="auto"/>
                <w:left w:val="none" w:sz="0" w:space="0" w:color="auto"/>
                <w:bottom w:val="none" w:sz="0" w:space="0" w:color="auto"/>
                <w:right w:val="none" w:sz="0" w:space="0" w:color="auto"/>
              </w:divBdr>
            </w:div>
          </w:divsChild>
        </w:div>
        <w:div w:id="1573420403">
          <w:marLeft w:val="0"/>
          <w:marRight w:val="0"/>
          <w:marTop w:val="0"/>
          <w:marBottom w:val="0"/>
          <w:divBdr>
            <w:top w:val="none" w:sz="0" w:space="0" w:color="auto"/>
            <w:left w:val="none" w:sz="0" w:space="0" w:color="auto"/>
            <w:bottom w:val="none" w:sz="0" w:space="0" w:color="auto"/>
            <w:right w:val="none" w:sz="0" w:space="0" w:color="auto"/>
          </w:divBdr>
          <w:divsChild>
            <w:div w:id="19223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SIDDIQI, ZOYA</dc:creator>
  <cp:keywords/>
  <dc:description/>
  <cp:lastModifiedBy>Deirdre Kiernan</cp:lastModifiedBy>
  <cp:revision>2</cp:revision>
  <dcterms:created xsi:type="dcterms:W3CDTF">2022-05-04T12:04:00Z</dcterms:created>
  <dcterms:modified xsi:type="dcterms:W3CDTF">2022-05-04T12:04:00Z</dcterms:modified>
</cp:coreProperties>
</file>